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3" w:rsidRPr="00CC6DE9" w:rsidRDefault="00CC6DE9" w:rsidP="00CC6DE9">
      <w:pPr>
        <w:pStyle w:val="a6"/>
        <w:spacing w:before="0" w:after="0"/>
        <w:ind w:left="502"/>
        <w:jc w:val="center"/>
        <w:rPr>
          <w:sz w:val="24"/>
          <w:szCs w:val="28"/>
          <w:lang w:val="uk-UA"/>
        </w:rPr>
      </w:pPr>
      <w:r w:rsidRPr="00CC6DE9">
        <w:rPr>
          <w:sz w:val="24"/>
          <w:szCs w:val="28"/>
        </w:rPr>
        <w:t xml:space="preserve">Додаток 2. </w:t>
      </w:r>
      <w:r w:rsidR="00A07873" w:rsidRPr="00CC6DE9">
        <w:rPr>
          <w:sz w:val="24"/>
          <w:szCs w:val="28"/>
          <w:lang w:val="uk-UA"/>
        </w:rPr>
        <w:t>Технічне завдання</w:t>
      </w:r>
    </w:p>
    <w:p w:rsidR="001B348E" w:rsidRPr="00CC6DE9" w:rsidRDefault="001B348E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bookmarkStart w:id="0" w:name="_GoBack"/>
      <w:bookmarkEnd w:id="0"/>
      <w:r w:rsidRPr="00CC6DE9">
        <w:rPr>
          <w:sz w:val="24"/>
          <w:lang w:val="uk-UA"/>
        </w:rPr>
        <w:t>Предмет закупівлі</w:t>
      </w:r>
    </w:p>
    <w:p w:rsidR="001B348E" w:rsidRPr="00CC6DE9" w:rsidRDefault="001B348E" w:rsidP="00752F90">
      <w:pPr>
        <w:pStyle w:val="a6"/>
        <w:spacing w:before="120" w:after="120"/>
        <w:ind w:left="709" w:firstLine="707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Предметом проведення даного конкурсу є придбання програмної продукції для забезпечення безпеки веб-додатків та послуг з супроводження програмної продукції  для забезпечення безпеки веб-додатків (Imperva Cloud WAF) протягом 12 місяців та її супроводження.</w:t>
      </w:r>
    </w:p>
    <w:p w:rsidR="001B348E" w:rsidRPr="00CC6DE9" w:rsidRDefault="001B348E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Загальні вимоги до предмету закупівлі</w:t>
      </w:r>
    </w:p>
    <w:p w:rsidR="001B348E" w:rsidRPr="00CC6DE9" w:rsidRDefault="001B348E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Придбане право використання програмної продукції повинно забезпечувати ефективний захист не менше ніж </w:t>
      </w:r>
      <w:r w:rsidR="003B779C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1</w:t>
      </w:r>
      <w:r w:rsidR="009B74B9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0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веб-додатків, протягом 12 місяців з дати укладання договору.</w:t>
      </w:r>
    </w:p>
    <w:p w:rsidR="00A13BC4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поставлятися в форматі хмарного сервісу (SaaS).</w:t>
      </w:r>
    </w:p>
    <w:p w:rsidR="003D3EFC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доступність сервісу на рівні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SLA 99.999%</w:t>
      </w:r>
    </w:p>
    <w:p w:rsidR="003D3EFC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забезпечити пропускну здатність не менше ніж 100 Мбит очищеного трафіку.</w:t>
      </w:r>
    </w:p>
    <w:p w:rsidR="003D3EFC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тарифікуватися виключно по очищеному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трафіку за системою 95</w:t>
      </w:r>
      <w:r w:rsidR="00752F90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-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персенті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ля.</w:t>
      </w:r>
    </w:p>
    <w:p w:rsidR="00A13BC4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надійний захист не менш ніж 9 веб-ресурсів.</w:t>
      </w:r>
    </w:p>
    <w:p w:rsidR="003D3EFC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надійний захист від OWASP "Top 10".</w:t>
      </w:r>
    </w:p>
    <w:p w:rsidR="003D3EFC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ефективний захист веб-додатків від атак DDоS.</w:t>
      </w:r>
    </w:p>
    <w:p w:rsidR="00A13BC4" w:rsidRPr="00CC6DE9" w:rsidRDefault="00A13BC4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 для забезпечення безпеки веб-додатків повинна надавати можливість визначати та блокувати різні типи запитів від бо</w:t>
      </w:r>
      <w:r w:rsidR="00A07873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не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тів.</w:t>
      </w:r>
    </w:p>
    <w:p w:rsidR="003D3EFC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мережу доставки контенту (CDN) для оптимізації доставки трафіку і зниження навантаження веб-сервера.</w:t>
      </w:r>
    </w:p>
    <w:p w:rsidR="00752F90" w:rsidRPr="00CC6DE9" w:rsidRDefault="003D3EFC" w:rsidP="00752F90">
      <w:pPr>
        <w:pStyle w:val="a6"/>
        <w:numPr>
          <w:ilvl w:val="0"/>
          <w:numId w:val="4"/>
        </w:numPr>
        <w:spacing w:before="120" w:after="120"/>
        <w:ind w:left="708" w:hanging="578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гнучку систему апгрейда, для забезпечення максимальної відповідності поточним вимогам замовника.</w:t>
      </w:r>
    </w:p>
    <w:p w:rsidR="00A13BC4" w:rsidRPr="00CC6DE9" w:rsidRDefault="00A13BC4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Функціональні вимоги до захисту</w:t>
      </w:r>
    </w:p>
    <w:p w:rsidR="00A13BC4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0" w:after="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Програмна продукція для забезпечення безпеки веб-додатків повинна підтримувати: </w:t>
      </w:r>
    </w:p>
    <w:p w:rsidR="00A13BC4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еревірку і контроль HTTP трафіку, включаючи HTTP заголовки, поля форм, а також тіло запитів, що передаються;</w:t>
      </w:r>
    </w:p>
    <w:p w:rsidR="00A13BC4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с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творення кастомних правил захисту, які застосовуються на основі відповіді веб-додатку (Status Code);</w:t>
      </w:r>
    </w:p>
    <w:p w:rsidR="00A13BC4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екодування даних в запиті в текстовий вигляд з метою їх подальшого дослідження;</w:t>
      </w:r>
    </w:p>
    <w:p w:rsidR="00A13BC4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</w:t>
      </w:r>
      <w:r w:rsidR="00A13BC4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еревірку для URL, форм, cookie, рядків запиту, прихованих полів і параметрів, методів HTTP, XML елементів і SOAP дій.</w:t>
      </w:r>
    </w:p>
    <w:p w:rsidR="00A13BC4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lastRenderedPageBreak/>
        <w:t>Програмна продукція для забезпечення безпеки веб-додатків повинна бути в змозі ідентифікувати тип клієнту за допомогою якого надіслано запит;</w:t>
      </w:r>
    </w:p>
    <w:p w:rsidR="00824366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підтримувати як позитивну,</w:t>
      </w:r>
      <w:r w:rsidR="00824366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так і негативну моделі безпеки.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</w:t>
      </w:r>
    </w:p>
    <w:p w:rsidR="00824366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Негативна модель безпеки</w:t>
      </w:r>
      <w:r w:rsidR="00824366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</w:t>
      </w:r>
      <w:r w:rsidR="00A07873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повинна</w:t>
      </w:r>
      <w:r w:rsidR="00824366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:</w:t>
      </w:r>
    </w:p>
    <w:p w:rsidR="00A13BC4" w:rsidRPr="00CC6DE9" w:rsidRDefault="00A13BC4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ви</w:t>
      </w:r>
      <w:r w:rsidR="00824366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значати відомі сигнатури атак. 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Транзакції, вміст яких збігається з відомими </w:t>
      </w:r>
      <w:r w:rsidR="00824366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с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игнатурами атак,</w:t>
      </w:r>
      <w:r w:rsidR="00A07873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блокуються, всі інші дозволені;</w:t>
      </w:r>
    </w:p>
    <w:p w:rsidR="00A13BC4" w:rsidRPr="00CC6DE9" w:rsidRDefault="00A13BC4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включати попередньо налаштований всеосяжни</w:t>
      </w:r>
      <w:r w:rsidR="00A07873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й і точний список сигнатур атак;</w:t>
      </w:r>
    </w:p>
    <w:p w:rsidR="00A07873" w:rsidRPr="00CC6DE9" w:rsidRDefault="00A07873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дозволяти виявляти відомі атаки на декількох рівнях, в тому числі на рівні мережі, операційної системи, програмного забезпечення веб-сервера і атак на рівні додатків.</w:t>
      </w:r>
    </w:p>
    <w:p w:rsidR="00A07873" w:rsidRPr="00CC6DE9" w:rsidRDefault="00A07873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підтримувати автоматичне оновлення списку сигнатур, забезпечуючи повний захист від новітніх загроз.</w:t>
      </w:r>
    </w:p>
    <w:p w:rsidR="00A07873" w:rsidRPr="00CC6DE9" w:rsidRDefault="00A07873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Позитивна модель безпеки передбачає, що дозволено все, що відомо, а решта блокується. Позитивна модель безпеки повинна включати в себе URL-адреси, каталоги, cookie, поля форм з параметрами і методи HTTP;</w:t>
      </w:r>
    </w:p>
    <w:p w:rsidR="00A13BC4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виявляти відомі шкідливі джерела автоматизованих атак і атак з використанням ботнетів, анонімних проксі, вузлів мережі TOR;</w:t>
      </w:r>
    </w:p>
    <w:p w:rsidR="00A13BC4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виявляти і блокувати / вимагати проходження додаткової перевірки (CAPTCHA, JavaScript Support) запитів користувачів за географічною ознакою;</w:t>
      </w:r>
    </w:p>
    <w:p w:rsidR="00A13BC4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функціонал захисту програмних інтерфейсів додатків (Application programming interfaces, API);</w:t>
      </w:r>
    </w:p>
    <w:p w:rsidR="00A13BC4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виявляти роботу шахрайських програм, що використовуються для виконання атак типу Man in the Browser;</w:t>
      </w:r>
    </w:p>
    <w:p w:rsidR="00A07873" w:rsidRPr="00CC6DE9" w:rsidRDefault="00A13BC4" w:rsidP="00752F90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before="120" w:after="120"/>
        <w:ind w:left="709" w:hanging="709"/>
        <w:jc w:val="both"/>
        <w:rPr>
          <w:sz w:val="22"/>
          <w:szCs w:val="24"/>
          <w:lang w:val="uk-UA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ро</w:t>
      </w:r>
      <w:r w:rsidR="00A07873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зрізняти ботів від користувачів.</w:t>
      </w:r>
    </w:p>
    <w:p w:rsidR="007A02C2" w:rsidRPr="00CC6DE9" w:rsidRDefault="007A02C2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Функціональні вимоги до захисту від DDоS</w:t>
      </w:r>
    </w:p>
    <w:p w:rsidR="007A02C2" w:rsidRPr="00CC6DE9" w:rsidRDefault="007A02C2" w:rsidP="00752F90">
      <w:pPr>
        <w:pStyle w:val="a6"/>
        <w:tabs>
          <w:tab w:val="left" w:pos="709"/>
          <w:tab w:val="left" w:pos="993"/>
        </w:tabs>
        <w:spacing w:before="120" w:after="0"/>
        <w:ind w:left="14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забезпечувати :</w:t>
      </w:r>
    </w:p>
    <w:p w:rsidR="007A02C2" w:rsidRPr="00CC6DE9" w:rsidRDefault="007A02C2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ефективний захист веб-додатків від атак DDоS;</w:t>
      </w:r>
    </w:p>
    <w:p w:rsidR="007A02C2" w:rsidRPr="00CC6DE9" w:rsidRDefault="007A02C2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захист від атак DDoS 3/4 та 7 рівня;</w:t>
      </w:r>
    </w:p>
    <w:p w:rsidR="007A02C2" w:rsidRPr="00CC6DE9" w:rsidRDefault="007A02C2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можливість кастомної конфігурації на основі очікуваної легітимної кількості запитів в секунду (RPS).</w:t>
      </w:r>
    </w:p>
    <w:p w:rsidR="007A02C2" w:rsidRPr="00CC6DE9" w:rsidRDefault="007A02C2" w:rsidP="00752F90">
      <w:pPr>
        <w:pStyle w:val="a6"/>
        <w:tabs>
          <w:tab w:val="left" w:pos="709"/>
          <w:tab w:val="left" w:pos="993"/>
        </w:tabs>
        <w:spacing w:before="120"/>
        <w:ind w:left="14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ab/>
        <w:t>- можливість налаштування реакції WAF при виявленні DDoS та надання можливості додаткової перевірки шляхом проходження тесту (CAPTCHA, JavaScript Support) беред блокуванням запиту.</w:t>
      </w:r>
    </w:p>
    <w:p w:rsidR="007A02C2" w:rsidRPr="00CC6DE9" w:rsidRDefault="007A02C2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Вимоги до репутаційних джерел</w:t>
      </w:r>
    </w:p>
    <w:p w:rsidR="007A02C2" w:rsidRPr="00CC6DE9" w:rsidRDefault="007A02C2" w:rsidP="00752F90">
      <w:pPr>
        <w:pStyle w:val="a6"/>
        <w:numPr>
          <w:ilvl w:val="0"/>
          <w:numId w:val="9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Необхідно, щоб у політиках безпеки програмної  продукції для забезпечення безпеки веб-додатків була можливість блокування запитів за критерієм приналежності IPv4 адреси до репутаційних спискам</w:t>
      </w:r>
    </w:p>
    <w:p w:rsidR="007A02C2" w:rsidRPr="00CC6DE9" w:rsidRDefault="007A02C2" w:rsidP="00752F90">
      <w:pPr>
        <w:pStyle w:val="a6"/>
        <w:numPr>
          <w:ilvl w:val="0"/>
          <w:numId w:val="9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Необхідно, щоб програмної  продукції для забезпечення безпеки веб-додатків містила репутаційні списки за наступними категоріями:</w:t>
      </w:r>
    </w:p>
    <w:p w:rsidR="007A02C2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</w:t>
      </w:r>
      <w:r w:rsidR="007A02C2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роксі-анонімайзери;</w:t>
      </w:r>
    </w:p>
    <w:p w:rsidR="007A02C2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р</w:t>
      </w:r>
      <w:r w:rsidR="007A02C2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озповсюджувачі спаму;</w:t>
      </w:r>
    </w:p>
    <w:p w:rsidR="007A02C2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г</w:t>
      </w:r>
      <w:r w:rsidR="007A02C2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еографічне розміщення;</w:t>
      </w:r>
    </w:p>
    <w:p w:rsidR="007A02C2" w:rsidRPr="00CC6DE9" w:rsidRDefault="007A02C2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lastRenderedPageBreak/>
        <w:t>IP C&amp;C розповсюджувачів зловмисного ПО;</w:t>
      </w:r>
    </w:p>
    <w:p w:rsidR="007A02C2" w:rsidRPr="00CC6DE9" w:rsidRDefault="007A02C2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IP помічені в розповсюдженні фішингу;</w:t>
      </w:r>
    </w:p>
    <w:p w:rsidR="007A02C2" w:rsidRPr="00CC6DE9" w:rsidRDefault="00752F90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в</w:t>
      </w:r>
      <w:r w:rsidR="007A02C2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ідомі вузли TOR.</w:t>
      </w:r>
    </w:p>
    <w:p w:rsidR="007A02C2" w:rsidRPr="00CC6DE9" w:rsidRDefault="007A02C2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Вимоги щодо розгортання і використання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Програмна продукція для забезпечення безпеки веб-додатків повинна підтримувати режим впровадження шляхом 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перенаправлення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DNS (заміни оригінального DNS веб-додатку);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бути в змозі працювати з HTTP і HTTPS (SSL) трафіком веб-додатків;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Для захисту веб-додатків повинна бути передбачена можливість імпорту SSL сертифікатів і закритих/відкритих ключів веб-серверів;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Для захисту веб-додатків без наявного SSL-сертифікату у програмної продукції для забезпечення безпеки веб-додатків повинна бути присутня можливість генерації тимчасового сертифікату шляхом підтвердження прав на володіння доменом;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Для захисту SSL веб-додатків програмна продукція для забезпечення безпеки веб-додатків повинна буде термінувати і розшифровувати клієнтські з'єднання, інспектувати трафік на предмет відповідності політикам безпеки і, в залежності від режиму, може повторно його зашифровувати при з'єднаннях з веб-серверами;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підтримувати можливість балансування трафіку між декількома серверами (Load Balancing) та автоматичного переключення всього трафіку на доступний веб-додаток у випадку недоступності іншого (Fail-Over режим);</w:t>
      </w:r>
    </w:p>
    <w:p w:rsidR="007A02C2" w:rsidRPr="00CC6DE9" w:rsidRDefault="007A02C2" w:rsidP="00752F90">
      <w:pPr>
        <w:pStyle w:val="a6"/>
        <w:numPr>
          <w:ilvl w:val="0"/>
          <w:numId w:val="10"/>
        </w:numPr>
        <w:tabs>
          <w:tab w:val="left" w:pos="993"/>
        </w:tabs>
        <w:spacing w:before="12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Модулі комплексу можуть бути розташовані як на локальному серв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ері так і в хмарному середовищі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.</w:t>
      </w:r>
    </w:p>
    <w:p w:rsidR="00EE1ED7" w:rsidRPr="00CC6DE9" w:rsidRDefault="00EE1ED7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Вимоги до адміністрування</w:t>
      </w:r>
    </w:p>
    <w:p w:rsidR="00EE1ED7" w:rsidRPr="00CC6DE9" w:rsidRDefault="00EE1ED7" w:rsidP="00752F90">
      <w:pPr>
        <w:pStyle w:val="a6"/>
        <w:numPr>
          <w:ilvl w:val="0"/>
          <w:numId w:val="12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Програмна продукція для забезпечення безпеки веб-додатків повинна мати веб-інтерфейс для адміністрування.</w:t>
      </w:r>
    </w:p>
    <w:p w:rsidR="00EE1ED7" w:rsidRPr="00CC6DE9" w:rsidRDefault="00EE1ED7" w:rsidP="00752F90">
      <w:pPr>
        <w:pStyle w:val="a6"/>
        <w:numPr>
          <w:ilvl w:val="0"/>
          <w:numId w:val="12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Конфігурація повинна бути простою і інтуїтивно зрозумілою.</w:t>
      </w:r>
    </w:p>
    <w:p w:rsidR="00EE1ED7" w:rsidRPr="00CC6DE9" w:rsidRDefault="00EE1ED7" w:rsidP="00752F90">
      <w:pPr>
        <w:pStyle w:val="a6"/>
        <w:numPr>
          <w:ilvl w:val="0"/>
          <w:numId w:val="12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Доступ до панелі управління повинен надаватися за допомогою 2 FA.</w:t>
      </w:r>
    </w:p>
    <w:p w:rsidR="00EE1ED7" w:rsidRPr="00CC6DE9" w:rsidRDefault="00EE1ED7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Вимоги до підтримки інтеграцій</w:t>
      </w:r>
    </w:p>
    <w:p w:rsidR="00EE1ED7" w:rsidRPr="00CC6DE9" w:rsidRDefault="00EE1ED7" w:rsidP="00752F90">
      <w:pPr>
        <w:pStyle w:val="a6"/>
        <w:numPr>
          <w:ilvl w:val="0"/>
          <w:numId w:val="13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Програмна продукція для забезпечення безпеки веб-додатків повинна мати АРІ для автоматизації рутинних задач.</w:t>
      </w:r>
    </w:p>
    <w:p w:rsidR="00EE1ED7" w:rsidRPr="00CC6DE9" w:rsidRDefault="00EE1ED7" w:rsidP="00752F90">
      <w:pPr>
        <w:pStyle w:val="a6"/>
        <w:numPr>
          <w:ilvl w:val="0"/>
          <w:numId w:val="13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Програмна продукція для забезпечення безпеки веб-додатків повинна мати можливість інтеграції з системами управління подіями безпеки SIEM</w:t>
      </w:r>
      <w:r w:rsidR="0063592A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.</w:t>
      </w:r>
    </w:p>
    <w:p w:rsidR="00EE1ED7" w:rsidRPr="00CC6DE9" w:rsidRDefault="00EE1ED7" w:rsidP="00752F90">
      <w:pPr>
        <w:pStyle w:val="a6"/>
        <w:numPr>
          <w:ilvl w:val="0"/>
          <w:numId w:val="13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Програмна продукція для забезпечення безпеки веб-додатків повинна</w:t>
      </w:r>
      <w:r w:rsidR="00AF12A5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мати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можливість інтеграції з системами управління розподілу навантаження.</w:t>
      </w:r>
    </w:p>
    <w:p w:rsidR="00EE1ED7" w:rsidRPr="00CC6DE9" w:rsidRDefault="00EE1ED7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Вимоги до моніторингу та звітності</w:t>
      </w:r>
    </w:p>
    <w:p w:rsidR="00EE1ED7" w:rsidRPr="00CC6DE9" w:rsidRDefault="00EE1ED7" w:rsidP="00752F90">
      <w:pPr>
        <w:pStyle w:val="a6"/>
        <w:numPr>
          <w:ilvl w:val="0"/>
          <w:numId w:val="14"/>
        </w:numPr>
        <w:tabs>
          <w:tab w:val="left" w:pos="993"/>
        </w:tabs>
        <w:spacing w:before="120" w:after="0"/>
        <w:ind w:hanging="502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Програмна продукція для забезпечення безпеки веб-додатків повинна підтримувати належний облік і можливість журналювання: </w:t>
      </w:r>
    </w:p>
    <w:p w:rsidR="00EE1ED7" w:rsidRPr="00CC6DE9" w:rsidRDefault="00AE088E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м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ожливість формування звіту про події за допомогою стандартних механізмів, наприклад, в системний журнал або через SNMP;</w:t>
      </w:r>
    </w:p>
    <w:p w:rsidR="00EE1ED7" w:rsidRPr="00CC6DE9" w:rsidRDefault="00AE088E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lastRenderedPageBreak/>
        <w:t>р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івні ведення журналу і фільтри повинні встановлюватися адміністратором;</w:t>
      </w:r>
    </w:p>
    <w:p w:rsidR="00EE1ED7" w:rsidRPr="00CC6DE9" w:rsidRDefault="00EE1ED7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WAF повинен бути в змозі формувати табличні або графічні звіти;</w:t>
      </w:r>
    </w:p>
    <w:p w:rsidR="00EE1ED7" w:rsidRPr="00CC6DE9" w:rsidRDefault="00AE088E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з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віти повинні бути доступні як на вимогу, так і за розкладом і поширюватися по протоколу SMTP;</w:t>
      </w:r>
    </w:p>
    <w:p w:rsidR="00EE1ED7" w:rsidRPr="00CC6DE9" w:rsidRDefault="00AE088E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і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нтерфейс управління програмн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ої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продукці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ї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для забезпечення безпеки веб-додатків повинен мати графічну панель, що інформує про стан системи і активності (показники трафіку, спрацювання політик захисту) на всіх </w:t>
      </w:r>
      <w:r w:rsidR="00443688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під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ключених веб додатках.</w:t>
      </w:r>
    </w:p>
    <w:p w:rsidR="00EE1ED7" w:rsidRPr="00CC6DE9" w:rsidRDefault="00EE1ED7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Вимоги до послуг з супроводження програмної продукції  для забезпечення безпеки веб-додатків (Imperva Cloud WAF)</w:t>
      </w:r>
    </w:p>
    <w:p w:rsidR="00EE1ED7" w:rsidRPr="00CC6DE9" w:rsidRDefault="00F9461A" w:rsidP="00752F90">
      <w:pPr>
        <w:pStyle w:val="a6"/>
        <w:numPr>
          <w:ilvl w:val="0"/>
          <w:numId w:val="15"/>
        </w:numPr>
        <w:tabs>
          <w:tab w:val="left" w:pos="993"/>
        </w:tabs>
        <w:spacing w:before="12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Виконавець договору повинен налаштувати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постійн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ий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моніторинг доступності веб-додатків, що знаходяться під захистом та сповіщення</w:t>
      </w:r>
      <w:r w:rsidR="005A55AB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замовника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про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їх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недоступність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.</w:t>
      </w:r>
    </w:p>
    <w:p w:rsidR="00EE1ED7" w:rsidRPr="00CC6DE9" w:rsidRDefault="00F9461A" w:rsidP="00752F90">
      <w:pPr>
        <w:pStyle w:val="a6"/>
        <w:numPr>
          <w:ilvl w:val="0"/>
          <w:numId w:val="15"/>
        </w:numPr>
        <w:tabs>
          <w:tab w:val="left" w:pos="993"/>
        </w:tabs>
        <w:spacing w:before="12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Виконавець договору повинен забезпечити 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моніторинг сертифікатів та попередження адміністраторів про необхідність заміни за 30, 7 та 3 дні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.</w:t>
      </w:r>
    </w:p>
    <w:p w:rsidR="00EE1ED7" w:rsidRPr="00CC6DE9" w:rsidRDefault="00F9461A" w:rsidP="00752F90">
      <w:pPr>
        <w:pStyle w:val="a6"/>
        <w:numPr>
          <w:ilvl w:val="0"/>
          <w:numId w:val="15"/>
        </w:numPr>
        <w:tabs>
          <w:tab w:val="left" w:pos="993"/>
        </w:tabs>
        <w:spacing w:before="12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Виконавець договору повинен організувати проведення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 регулярних сканувань на вразливості веб-додатків, що знаходяться під захистом, виявлення вразливостей, що не можуть бути закритими WAF та формування пріорите</w:t>
      </w:r>
      <w:r w:rsidR="00752F90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тів по усуненню для розробників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.</w:t>
      </w:r>
    </w:p>
    <w:p w:rsidR="00EE1ED7" w:rsidRPr="00CC6DE9" w:rsidRDefault="00F9461A" w:rsidP="00752F90">
      <w:pPr>
        <w:pStyle w:val="a6"/>
        <w:numPr>
          <w:ilvl w:val="0"/>
          <w:numId w:val="15"/>
        </w:numPr>
        <w:tabs>
          <w:tab w:val="left" w:pos="993"/>
        </w:tabs>
        <w:spacing w:before="12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Виконавець договору повинен організувати  процес </w:t>
      </w:r>
      <w:r w:rsidR="00EE1ED7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постійного аналізу показників трафіку (пропускна здатність, об’єм переданого трафіку, кількість спроб авторизації) виявлення аномалій та сповіщення адміністраторів;</w:t>
      </w:r>
    </w:p>
    <w:p w:rsidR="00EE1ED7" w:rsidRPr="00CC6DE9" w:rsidRDefault="00EE1ED7" w:rsidP="00752F90">
      <w:pPr>
        <w:pStyle w:val="a6"/>
        <w:numPr>
          <w:ilvl w:val="0"/>
          <w:numId w:val="15"/>
        </w:numPr>
        <w:tabs>
          <w:tab w:val="left" w:pos="993"/>
        </w:tabs>
        <w:spacing w:before="12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Забезпечення постійного аналізу існуючих правил, перевірка їх </w:t>
      </w:r>
      <w:r w:rsidR="00404329"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 xml:space="preserve">працездатності </w:t>
      </w: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та оптимізація;</w:t>
      </w:r>
    </w:p>
    <w:p w:rsidR="00EE1ED7" w:rsidRPr="00CC6DE9" w:rsidRDefault="00EE1ED7" w:rsidP="00752F90">
      <w:pPr>
        <w:pStyle w:val="a6"/>
        <w:numPr>
          <w:ilvl w:val="0"/>
          <w:numId w:val="15"/>
        </w:numPr>
        <w:tabs>
          <w:tab w:val="left" w:pos="993"/>
        </w:tabs>
        <w:spacing w:before="12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Щомісячно надавати узагальнений звіт по веб-додаткам, що містить інформацію про:</w:t>
      </w:r>
    </w:p>
    <w:p w:rsidR="00EE1ED7" w:rsidRPr="00CC6DE9" w:rsidRDefault="00EE1ED7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Доступність веб-ресурсу та інтервали недоступності для клієнтів.</w:t>
      </w:r>
    </w:p>
    <w:p w:rsidR="00EE1ED7" w:rsidRPr="00CC6DE9" w:rsidRDefault="00EE1ED7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Характеристики трафіку веб-сайту: об’єми, кількість візитів, % ботів.</w:t>
      </w:r>
    </w:p>
    <w:p w:rsidR="00EE1ED7" w:rsidRPr="00CC6DE9" w:rsidRDefault="00EE1ED7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Атаки на веб-ресурс, їх тип та характеристики, вжиті заходи по виявленим інцидентам.</w:t>
      </w:r>
    </w:p>
    <w:p w:rsidR="00EE1ED7" w:rsidRPr="00CC6DE9" w:rsidRDefault="00EE1ED7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Оцінка вразливостей веб-ресурсу, рекомендації щодо усунення вразливостей з урахуванням критичності   та можливості ізоляції вразливості за допомогою WAF.</w:t>
      </w:r>
    </w:p>
    <w:p w:rsidR="00EE1ED7" w:rsidRPr="00CC6DE9" w:rsidRDefault="00EE1ED7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Ключові параметри налаштування WAF: конфігурація правил безпеки, сценарії автоматичного реагування</w:t>
      </w:r>
    </w:p>
    <w:p w:rsidR="000D78AF" w:rsidRPr="00CC6DE9" w:rsidRDefault="000D78AF" w:rsidP="00752F90">
      <w:pPr>
        <w:pStyle w:val="a6"/>
        <w:numPr>
          <w:ilvl w:val="0"/>
          <w:numId w:val="2"/>
        </w:numPr>
        <w:spacing w:before="480" w:after="120"/>
        <w:ind w:left="714" w:hanging="357"/>
        <w:jc w:val="both"/>
        <w:rPr>
          <w:sz w:val="24"/>
          <w:lang w:val="uk-UA"/>
        </w:rPr>
      </w:pPr>
      <w:r w:rsidRPr="00CC6DE9">
        <w:rPr>
          <w:sz w:val="24"/>
          <w:lang w:val="uk-UA"/>
        </w:rPr>
        <w:t>Кваліфікаційні критерії до Учасників</w:t>
      </w:r>
    </w:p>
    <w:p w:rsidR="000D78AF" w:rsidRPr="00CC6DE9" w:rsidRDefault="000D78AF" w:rsidP="00752F90">
      <w:pPr>
        <w:pStyle w:val="a6"/>
        <w:spacing w:before="120" w:after="12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До участі в процедурі закупівлі приймаються пропозиції від Учасників, які відповідають наступним вимогам:</w:t>
      </w:r>
    </w:p>
    <w:p w:rsidR="000D78AF" w:rsidRPr="00CC6DE9" w:rsidRDefault="000D78AF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Зареєстровані на території України.</w:t>
      </w:r>
    </w:p>
    <w:p w:rsidR="000D78AF" w:rsidRPr="00CC6DE9" w:rsidRDefault="000D78AF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Мають право на поставку зазначеної програмної продукції.</w:t>
      </w:r>
    </w:p>
    <w:p w:rsidR="000D78AF" w:rsidRPr="00CC6DE9" w:rsidRDefault="000D78AF" w:rsidP="00752F90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before="0" w:after="0"/>
        <w:jc w:val="both"/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</w:pPr>
      <w:r w:rsidRPr="00CC6DE9">
        <w:rPr>
          <w:rFonts w:eastAsia="Times New Roman" w:cs="Arial"/>
          <w:b w:val="0"/>
          <w:color w:val="000000"/>
          <w:sz w:val="22"/>
          <w:szCs w:val="24"/>
          <w:lang w:val="uk-UA" w:eastAsia="ru-RU"/>
        </w:rPr>
        <w:t>Мають необхідне обладнання, кваліфікований персонал та досвід в даному напрямку не менше 1 року.</w:t>
      </w:r>
    </w:p>
    <w:sectPr w:rsidR="000D78AF" w:rsidRPr="00CC6DE9" w:rsidSect="003D3EF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8" w:rsidRDefault="00545628" w:rsidP="00EE1ED7">
      <w:pPr>
        <w:spacing w:after="0" w:line="240" w:lineRule="auto"/>
      </w:pPr>
      <w:r>
        <w:separator/>
      </w:r>
    </w:p>
  </w:endnote>
  <w:endnote w:type="continuationSeparator" w:id="0">
    <w:p w:rsidR="00545628" w:rsidRDefault="00545628" w:rsidP="00EE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02466"/>
      <w:docPartObj>
        <w:docPartGallery w:val="Page Numbers (Bottom of Page)"/>
        <w:docPartUnique/>
      </w:docPartObj>
    </w:sdtPr>
    <w:sdtEndPr/>
    <w:sdtContent>
      <w:p w:rsidR="00EE1ED7" w:rsidRDefault="00EE1E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38">
          <w:rPr>
            <w:noProof/>
          </w:rPr>
          <w:t>2</w:t>
        </w:r>
        <w:r>
          <w:fldChar w:fldCharType="end"/>
        </w:r>
      </w:p>
    </w:sdtContent>
  </w:sdt>
  <w:p w:rsidR="00EE1ED7" w:rsidRDefault="00EE1E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8" w:rsidRDefault="00545628" w:rsidP="00EE1ED7">
      <w:pPr>
        <w:spacing w:after="0" w:line="240" w:lineRule="auto"/>
      </w:pPr>
      <w:r>
        <w:separator/>
      </w:r>
    </w:p>
  </w:footnote>
  <w:footnote w:type="continuationSeparator" w:id="0">
    <w:p w:rsidR="00545628" w:rsidRDefault="00545628" w:rsidP="00EE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39"/>
    <w:multiLevelType w:val="hybridMultilevel"/>
    <w:tmpl w:val="242AD588"/>
    <w:lvl w:ilvl="0" w:tplc="6DC4653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A8B"/>
    <w:multiLevelType w:val="hybridMultilevel"/>
    <w:tmpl w:val="10A60FF2"/>
    <w:lvl w:ilvl="0" w:tplc="16A2C4C2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F3C"/>
    <w:multiLevelType w:val="hybridMultilevel"/>
    <w:tmpl w:val="07D25C22"/>
    <w:lvl w:ilvl="0" w:tplc="281E6362">
      <w:start w:val="1"/>
      <w:numFmt w:val="decimal"/>
      <w:lvlText w:val="7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C65"/>
    <w:multiLevelType w:val="hybridMultilevel"/>
    <w:tmpl w:val="8C1819EE"/>
    <w:lvl w:ilvl="0" w:tplc="16A2C4C2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E5F"/>
    <w:multiLevelType w:val="hybridMultilevel"/>
    <w:tmpl w:val="E6A277A8"/>
    <w:lvl w:ilvl="0" w:tplc="2B502698">
      <w:start w:val="1"/>
      <w:numFmt w:val="decimal"/>
      <w:lvlText w:val="7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2E1"/>
    <w:multiLevelType w:val="hybridMultilevel"/>
    <w:tmpl w:val="E718133C"/>
    <w:lvl w:ilvl="0" w:tplc="CA3027B6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160D552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232"/>
    <w:multiLevelType w:val="hybridMultilevel"/>
    <w:tmpl w:val="CD7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5961"/>
    <w:multiLevelType w:val="hybridMultilevel"/>
    <w:tmpl w:val="B0589F10"/>
    <w:lvl w:ilvl="0" w:tplc="25801DBA">
      <w:start w:val="1"/>
      <w:numFmt w:val="decimal"/>
      <w:lvlText w:val="6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66DE9"/>
    <w:multiLevelType w:val="hybridMultilevel"/>
    <w:tmpl w:val="C068C8E0"/>
    <w:lvl w:ilvl="0" w:tplc="5B261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0E72"/>
    <w:multiLevelType w:val="multilevel"/>
    <w:tmpl w:val="B1D48C82"/>
    <w:lvl w:ilvl="0">
      <w:start w:val="1"/>
      <w:numFmt w:val="decimal"/>
      <w:lvlText w:val="10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9420627"/>
    <w:multiLevelType w:val="hybridMultilevel"/>
    <w:tmpl w:val="637C15EA"/>
    <w:lvl w:ilvl="0" w:tplc="EC4CC41E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35561D7"/>
    <w:multiLevelType w:val="hybridMultilevel"/>
    <w:tmpl w:val="0358814E"/>
    <w:lvl w:ilvl="0" w:tplc="96D0378A">
      <w:start w:val="1"/>
      <w:numFmt w:val="decimal"/>
      <w:lvlText w:val="8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2DCC"/>
    <w:multiLevelType w:val="hybridMultilevel"/>
    <w:tmpl w:val="306CFB50"/>
    <w:lvl w:ilvl="0" w:tplc="56B01482">
      <w:start w:val="1"/>
      <w:numFmt w:val="decimal"/>
      <w:lvlText w:val="5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6880"/>
    <w:multiLevelType w:val="hybridMultilevel"/>
    <w:tmpl w:val="A29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E3D26"/>
    <w:multiLevelType w:val="multilevel"/>
    <w:tmpl w:val="8E84C6CC"/>
    <w:lvl w:ilvl="0">
      <w:start w:val="1"/>
      <w:numFmt w:val="decimal"/>
      <w:lvlText w:val="9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E5C377C"/>
    <w:multiLevelType w:val="hybridMultilevel"/>
    <w:tmpl w:val="8B282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B7C73"/>
    <w:multiLevelType w:val="hybridMultilevel"/>
    <w:tmpl w:val="CACA4704"/>
    <w:lvl w:ilvl="0" w:tplc="16A2C4C2">
      <w:start w:val="1"/>
      <w:numFmt w:val="decimal"/>
      <w:lvlText w:val="2.%1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9742B"/>
    <w:multiLevelType w:val="hybridMultilevel"/>
    <w:tmpl w:val="DD00EA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15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ED"/>
    <w:rsid w:val="000D5D54"/>
    <w:rsid w:val="000D78AF"/>
    <w:rsid w:val="000E59AB"/>
    <w:rsid w:val="001759AC"/>
    <w:rsid w:val="001B348E"/>
    <w:rsid w:val="002208B9"/>
    <w:rsid w:val="002A27C1"/>
    <w:rsid w:val="003B779C"/>
    <w:rsid w:val="003D3EFC"/>
    <w:rsid w:val="00404329"/>
    <w:rsid w:val="00443688"/>
    <w:rsid w:val="00545628"/>
    <w:rsid w:val="005A55AB"/>
    <w:rsid w:val="00606238"/>
    <w:rsid w:val="00610E4C"/>
    <w:rsid w:val="0063592A"/>
    <w:rsid w:val="006B5351"/>
    <w:rsid w:val="00752F90"/>
    <w:rsid w:val="007711DC"/>
    <w:rsid w:val="007A02C2"/>
    <w:rsid w:val="00824366"/>
    <w:rsid w:val="008E5D13"/>
    <w:rsid w:val="00950791"/>
    <w:rsid w:val="009B74B9"/>
    <w:rsid w:val="00A07873"/>
    <w:rsid w:val="00A13BC4"/>
    <w:rsid w:val="00A63369"/>
    <w:rsid w:val="00A635F1"/>
    <w:rsid w:val="00AE088E"/>
    <w:rsid w:val="00AF12A5"/>
    <w:rsid w:val="00BC7413"/>
    <w:rsid w:val="00CC6DE9"/>
    <w:rsid w:val="00CE64ED"/>
    <w:rsid w:val="00D56B96"/>
    <w:rsid w:val="00EE1ED7"/>
    <w:rsid w:val="00EF0CFD"/>
    <w:rsid w:val="00F9461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8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3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B3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basedOn w:val="1"/>
    <w:uiPriority w:val="1"/>
    <w:qFormat/>
    <w:rsid w:val="00EE1ED7"/>
    <w:pPr>
      <w:spacing w:before="720" w:after="480" w:line="240" w:lineRule="auto"/>
    </w:pPr>
    <w:rPr>
      <w:rFonts w:ascii="Arial" w:hAnsi="Arial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3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E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ED7"/>
  </w:style>
  <w:style w:type="paragraph" w:styleId="a9">
    <w:name w:val="footer"/>
    <w:basedOn w:val="a"/>
    <w:link w:val="aa"/>
    <w:uiPriority w:val="99"/>
    <w:unhideWhenUsed/>
    <w:rsid w:val="00EE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8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3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B3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basedOn w:val="1"/>
    <w:uiPriority w:val="1"/>
    <w:qFormat/>
    <w:rsid w:val="00EE1ED7"/>
    <w:pPr>
      <w:spacing w:before="720" w:after="480" w:line="240" w:lineRule="auto"/>
    </w:pPr>
    <w:rPr>
      <w:rFonts w:ascii="Arial" w:hAnsi="Arial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3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E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ED7"/>
  </w:style>
  <w:style w:type="paragraph" w:styleId="a9">
    <w:name w:val="footer"/>
    <w:basedOn w:val="a"/>
    <w:link w:val="aa"/>
    <w:uiPriority w:val="99"/>
    <w:unhideWhenUsed/>
    <w:rsid w:val="00EE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18E6-8212-4B52-8072-863EF53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6330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Олексій Сергійович</dc:creator>
  <cp:lastModifiedBy>Авраменко Ірина Анатоліївна</cp:lastModifiedBy>
  <cp:revision>4</cp:revision>
  <dcterms:created xsi:type="dcterms:W3CDTF">2021-03-30T09:05:00Z</dcterms:created>
  <dcterms:modified xsi:type="dcterms:W3CDTF">2021-03-30T09:22:00Z</dcterms:modified>
</cp:coreProperties>
</file>